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E1D" w:rsidRDefault="00E92622" w:rsidP="00E92622">
      <w:pPr>
        <w:jc w:val="center"/>
        <w:rPr>
          <w:b/>
          <w:sz w:val="28"/>
          <w:szCs w:val="28"/>
        </w:rPr>
      </w:pPr>
      <w:r w:rsidRPr="006149BE">
        <w:rPr>
          <w:b/>
          <w:sz w:val="28"/>
          <w:szCs w:val="28"/>
        </w:rPr>
        <w:t>FORM OF ANNUAL FINANCIAL RETURN</w:t>
      </w:r>
    </w:p>
    <w:p w:rsidR="002A4732" w:rsidRPr="006149BE" w:rsidRDefault="002A4732" w:rsidP="00E92622">
      <w:pPr>
        <w:jc w:val="center"/>
        <w:rPr>
          <w:b/>
          <w:sz w:val="28"/>
          <w:szCs w:val="28"/>
        </w:rPr>
      </w:pPr>
      <w:r>
        <w:rPr>
          <w:b/>
          <w:sz w:val="28"/>
          <w:szCs w:val="28"/>
        </w:rPr>
        <w:t>[NAME OF COMPANY]</w:t>
      </w:r>
    </w:p>
    <w:p w:rsidR="00E92622" w:rsidRPr="006149BE" w:rsidRDefault="00E92622" w:rsidP="006149BE">
      <w:pPr>
        <w:jc w:val="center"/>
        <w:rPr>
          <w:b/>
          <w:sz w:val="28"/>
          <w:szCs w:val="28"/>
        </w:rPr>
      </w:pPr>
      <w:r w:rsidRPr="00F36F31">
        <w:rPr>
          <w:b/>
          <w:sz w:val="28"/>
          <w:szCs w:val="28"/>
        </w:rPr>
        <w:t>FINANCIAL INFORMATION FOR YEAR ENDING,</w:t>
      </w:r>
      <w:r w:rsidR="002A4732">
        <w:rPr>
          <w:b/>
          <w:sz w:val="28"/>
          <w:szCs w:val="28"/>
        </w:rPr>
        <w:t xml:space="preserve"> </w:t>
      </w:r>
      <w:r w:rsidR="006149BE">
        <w:rPr>
          <w:b/>
          <w:sz w:val="28"/>
          <w:szCs w:val="28"/>
        </w:rPr>
        <w:t>DD MM YYYY</w:t>
      </w:r>
      <w:r w:rsidR="00F36F31">
        <w:rPr>
          <w:rStyle w:val="FootnoteReference"/>
          <w:i/>
        </w:rPr>
        <w:footnoteReference w:id="1"/>
      </w:r>
    </w:p>
    <w:p w:rsidR="00E92622" w:rsidRDefault="00E92622" w:rsidP="00E92622"/>
    <w:tbl>
      <w:tblPr>
        <w:tblStyle w:val="TableGrid"/>
        <w:tblW w:w="0" w:type="auto"/>
        <w:tblLook w:val="04A0" w:firstRow="1" w:lastRow="0" w:firstColumn="1" w:lastColumn="0" w:noHBand="0" w:noVBand="1"/>
      </w:tblPr>
      <w:tblGrid>
        <w:gridCol w:w="4675"/>
        <w:gridCol w:w="4675"/>
      </w:tblGrid>
      <w:tr w:rsidR="00E92622" w:rsidTr="00E92622">
        <w:tc>
          <w:tcPr>
            <w:tcW w:w="4675" w:type="dxa"/>
          </w:tcPr>
          <w:p w:rsidR="00E92622" w:rsidRPr="00F36F31" w:rsidRDefault="00F36F31" w:rsidP="00E92622">
            <w:pPr>
              <w:rPr>
                <w:b/>
                <w:sz w:val="28"/>
                <w:szCs w:val="28"/>
              </w:rPr>
            </w:pPr>
            <w:r w:rsidRPr="00F36F31">
              <w:rPr>
                <w:b/>
                <w:sz w:val="28"/>
                <w:szCs w:val="28"/>
              </w:rPr>
              <w:t>BALANCE SHEET / STATEMENT OF FINANCIAL POSITION</w:t>
            </w:r>
          </w:p>
        </w:tc>
        <w:tc>
          <w:tcPr>
            <w:tcW w:w="4675" w:type="dxa"/>
          </w:tcPr>
          <w:p w:rsidR="00E92622" w:rsidRDefault="00E92622" w:rsidP="00E92622"/>
        </w:tc>
      </w:tr>
      <w:tr w:rsidR="00E92622" w:rsidTr="00E92622">
        <w:tc>
          <w:tcPr>
            <w:tcW w:w="4675" w:type="dxa"/>
          </w:tcPr>
          <w:p w:rsidR="00E92622" w:rsidRDefault="00E92622" w:rsidP="00E92622"/>
        </w:tc>
        <w:tc>
          <w:tcPr>
            <w:tcW w:w="4675" w:type="dxa"/>
          </w:tcPr>
          <w:p w:rsidR="00E92622" w:rsidRDefault="00E92622" w:rsidP="00E92622"/>
        </w:tc>
      </w:tr>
      <w:tr w:rsidR="00E92622" w:rsidTr="00E92622">
        <w:tc>
          <w:tcPr>
            <w:tcW w:w="4675" w:type="dxa"/>
          </w:tcPr>
          <w:p w:rsidR="00E92622" w:rsidRPr="00F36F31" w:rsidRDefault="00F36F31" w:rsidP="00E92622">
            <w:pPr>
              <w:rPr>
                <w:b/>
              </w:rPr>
            </w:pPr>
            <w:r w:rsidRPr="00F36F31">
              <w:rPr>
                <w:b/>
              </w:rPr>
              <w:t>ASSETS</w:t>
            </w:r>
          </w:p>
        </w:tc>
        <w:tc>
          <w:tcPr>
            <w:tcW w:w="4675" w:type="dxa"/>
          </w:tcPr>
          <w:p w:rsidR="00E92622" w:rsidRDefault="00E92622" w:rsidP="00E92622"/>
        </w:tc>
      </w:tr>
      <w:tr w:rsidR="00E92622" w:rsidTr="00E92622">
        <w:tc>
          <w:tcPr>
            <w:tcW w:w="4675" w:type="dxa"/>
          </w:tcPr>
          <w:p w:rsidR="00E92622" w:rsidRDefault="00E92622" w:rsidP="00E92622">
            <w:r>
              <w:rPr>
                <w:sz w:val="23"/>
              </w:rPr>
              <w:t>Cash and cash equivalents</w:t>
            </w:r>
          </w:p>
        </w:tc>
        <w:tc>
          <w:tcPr>
            <w:tcW w:w="4675" w:type="dxa"/>
          </w:tcPr>
          <w:p w:rsidR="00E92622" w:rsidRDefault="00E92622" w:rsidP="00E92622"/>
        </w:tc>
      </w:tr>
      <w:tr w:rsidR="00E92622" w:rsidTr="00E92622">
        <w:tc>
          <w:tcPr>
            <w:tcW w:w="4675" w:type="dxa"/>
          </w:tcPr>
          <w:p w:rsidR="00E92622" w:rsidRDefault="00E92622" w:rsidP="00E92622">
            <w:r>
              <w:rPr>
                <w:sz w:val="23"/>
              </w:rPr>
              <w:t>Loans and receivables</w:t>
            </w:r>
          </w:p>
        </w:tc>
        <w:tc>
          <w:tcPr>
            <w:tcW w:w="4675" w:type="dxa"/>
          </w:tcPr>
          <w:p w:rsidR="00E92622" w:rsidRDefault="00E92622" w:rsidP="00E92622"/>
        </w:tc>
      </w:tr>
      <w:tr w:rsidR="00E92622" w:rsidTr="00E92622">
        <w:tc>
          <w:tcPr>
            <w:tcW w:w="4675" w:type="dxa"/>
          </w:tcPr>
          <w:p w:rsidR="00E92622" w:rsidRDefault="00E92622" w:rsidP="00E92622">
            <w:r>
              <w:rPr>
                <w:sz w:val="23"/>
              </w:rPr>
              <w:t>Investments</w:t>
            </w:r>
            <w:r>
              <w:rPr>
                <w:spacing w:val="-15"/>
                <w:sz w:val="23"/>
              </w:rPr>
              <w:t xml:space="preserve"> </w:t>
            </w:r>
            <w:r>
              <w:rPr>
                <w:sz w:val="23"/>
              </w:rPr>
              <w:t>and</w:t>
            </w:r>
            <w:r>
              <w:rPr>
                <w:spacing w:val="-14"/>
                <w:sz w:val="23"/>
              </w:rPr>
              <w:t xml:space="preserve"> </w:t>
            </w:r>
            <w:r>
              <w:rPr>
                <w:sz w:val="23"/>
              </w:rPr>
              <w:t>other</w:t>
            </w:r>
            <w:r>
              <w:rPr>
                <w:spacing w:val="-15"/>
                <w:sz w:val="23"/>
              </w:rPr>
              <w:t xml:space="preserve"> </w:t>
            </w:r>
            <w:r>
              <w:rPr>
                <w:sz w:val="23"/>
              </w:rPr>
              <w:t xml:space="preserve">financial </w:t>
            </w:r>
            <w:r>
              <w:rPr>
                <w:spacing w:val="-2"/>
                <w:sz w:val="23"/>
              </w:rPr>
              <w:t>assets</w:t>
            </w:r>
          </w:p>
        </w:tc>
        <w:tc>
          <w:tcPr>
            <w:tcW w:w="4675" w:type="dxa"/>
          </w:tcPr>
          <w:p w:rsidR="00E92622" w:rsidRDefault="00E92622" w:rsidP="00E92622"/>
        </w:tc>
      </w:tr>
      <w:tr w:rsidR="00E92622" w:rsidTr="00E92622">
        <w:tc>
          <w:tcPr>
            <w:tcW w:w="4675" w:type="dxa"/>
          </w:tcPr>
          <w:p w:rsidR="00E92622" w:rsidRDefault="00E92622" w:rsidP="00E92622">
            <w:r>
              <w:rPr>
                <w:sz w:val="23"/>
              </w:rPr>
              <w:t>Tangible</w:t>
            </w:r>
            <w:r>
              <w:rPr>
                <w:spacing w:val="-15"/>
                <w:sz w:val="23"/>
              </w:rPr>
              <w:t xml:space="preserve"> </w:t>
            </w:r>
            <w:r>
              <w:rPr>
                <w:sz w:val="23"/>
              </w:rPr>
              <w:t>fixed</w:t>
            </w:r>
            <w:r>
              <w:rPr>
                <w:spacing w:val="-14"/>
                <w:sz w:val="23"/>
              </w:rPr>
              <w:t xml:space="preserve"> </w:t>
            </w:r>
            <w:r>
              <w:rPr>
                <w:sz w:val="23"/>
              </w:rPr>
              <w:t>assets</w:t>
            </w:r>
          </w:p>
        </w:tc>
        <w:tc>
          <w:tcPr>
            <w:tcW w:w="4675" w:type="dxa"/>
          </w:tcPr>
          <w:p w:rsidR="00E92622" w:rsidRDefault="00E92622" w:rsidP="00E92622"/>
        </w:tc>
      </w:tr>
      <w:tr w:rsidR="00E92622" w:rsidTr="00E92622">
        <w:tc>
          <w:tcPr>
            <w:tcW w:w="4675" w:type="dxa"/>
          </w:tcPr>
          <w:p w:rsidR="00E92622" w:rsidRDefault="00E92622" w:rsidP="00E92622">
            <w:r>
              <w:rPr>
                <w:sz w:val="23"/>
              </w:rPr>
              <w:t>Intangible assets</w:t>
            </w:r>
          </w:p>
        </w:tc>
        <w:tc>
          <w:tcPr>
            <w:tcW w:w="4675" w:type="dxa"/>
          </w:tcPr>
          <w:p w:rsidR="00E92622" w:rsidRDefault="00E92622" w:rsidP="00E92622"/>
        </w:tc>
      </w:tr>
      <w:tr w:rsidR="00E92622" w:rsidTr="00E92622">
        <w:tc>
          <w:tcPr>
            <w:tcW w:w="4675" w:type="dxa"/>
          </w:tcPr>
          <w:p w:rsidR="00E92622" w:rsidRDefault="00E92622" w:rsidP="00E92622">
            <w:r>
              <w:rPr>
                <w:sz w:val="23"/>
              </w:rPr>
              <w:t>Other assets</w:t>
            </w:r>
          </w:p>
        </w:tc>
        <w:tc>
          <w:tcPr>
            <w:tcW w:w="4675" w:type="dxa"/>
          </w:tcPr>
          <w:p w:rsidR="00E92622" w:rsidRDefault="00E92622" w:rsidP="00E92622"/>
        </w:tc>
      </w:tr>
      <w:tr w:rsidR="00E92622" w:rsidTr="00E92622">
        <w:tc>
          <w:tcPr>
            <w:tcW w:w="4675" w:type="dxa"/>
          </w:tcPr>
          <w:p w:rsidR="00E92622" w:rsidRDefault="00E92622" w:rsidP="00E92622"/>
        </w:tc>
        <w:tc>
          <w:tcPr>
            <w:tcW w:w="4675" w:type="dxa"/>
          </w:tcPr>
          <w:p w:rsidR="00E92622" w:rsidRDefault="00E92622" w:rsidP="00E92622"/>
        </w:tc>
      </w:tr>
      <w:tr w:rsidR="00E92622" w:rsidTr="00E92622">
        <w:tc>
          <w:tcPr>
            <w:tcW w:w="4675" w:type="dxa"/>
          </w:tcPr>
          <w:p w:rsidR="00E92622" w:rsidRPr="00F36F31" w:rsidRDefault="00E92622" w:rsidP="00E92622">
            <w:pPr>
              <w:rPr>
                <w:b/>
              </w:rPr>
            </w:pPr>
            <w:r w:rsidRPr="00F36F31">
              <w:rPr>
                <w:b/>
              </w:rPr>
              <w:t>TOTAL ASSETS</w:t>
            </w:r>
          </w:p>
        </w:tc>
        <w:tc>
          <w:tcPr>
            <w:tcW w:w="4675" w:type="dxa"/>
          </w:tcPr>
          <w:p w:rsidR="00E92622" w:rsidRPr="00F36F31" w:rsidRDefault="00E92622" w:rsidP="00E92622">
            <w:pPr>
              <w:rPr>
                <w:b/>
              </w:rPr>
            </w:pPr>
            <w:r w:rsidRPr="00F36F31">
              <w:rPr>
                <w:b/>
              </w:rPr>
              <w:t>US$</w:t>
            </w:r>
          </w:p>
          <w:p w:rsidR="00E92622" w:rsidRPr="00F36F31" w:rsidRDefault="00E92622" w:rsidP="00E92622">
            <w:pPr>
              <w:rPr>
                <w:b/>
              </w:rPr>
            </w:pPr>
          </w:p>
          <w:p w:rsidR="00E92622" w:rsidRPr="00F36F31" w:rsidRDefault="00E92622" w:rsidP="00E92622">
            <w:pPr>
              <w:rPr>
                <w:b/>
              </w:rPr>
            </w:pPr>
          </w:p>
        </w:tc>
      </w:tr>
      <w:tr w:rsidR="00E92622" w:rsidTr="00E92622">
        <w:tc>
          <w:tcPr>
            <w:tcW w:w="4675" w:type="dxa"/>
          </w:tcPr>
          <w:p w:rsidR="00E92622" w:rsidRDefault="00E92622" w:rsidP="00E92622"/>
        </w:tc>
        <w:tc>
          <w:tcPr>
            <w:tcW w:w="4675" w:type="dxa"/>
          </w:tcPr>
          <w:p w:rsidR="00E92622" w:rsidRDefault="00E92622" w:rsidP="00E92622"/>
        </w:tc>
      </w:tr>
      <w:tr w:rsidR="00E92622" w:rsidTr="00E92622">
        <w:tc>
          <w:tcPr>
            <w:tcW w:w="4675" w:type="dxa"/>
          </w:tcPr>
          <w:p w:rsidR="00E92622" w:rsidRPr="00F36F31" w:rsidRDefault="00F36F31" w:rsidP="00E92622">
            <w:pPr>
              <w:rPr>
                <w:b/>
              </w:rPr>
            </w:pPr>
            <w:r w:rsidRPr="00F36F31">
              <w:rPr>
                <w:b/>
              </w:rPr>
              <w:t xml:space="preserve">LIABILITIES </w:t>
            </w:r>
          </w:p>
        </w:tc>
        <w:tc>
          <w:tcPr>
            <w:tcW w:w="4675" w:type="dxa"/>
          </w:tcPr>
          <w:p w:rsidR="00E92622" w:rsidRDefault="00E92622" w:rsidP="00E92622"/>
        </w:tc>
      </w:tr>
      <w:tr w:rsidR="00E92622" w:rsidTr="00E92622">
        <w:tc>
          <w:tcPr>
            <w:tcW w:w="4675" w:type="dxa"/>
          </w:tcPr>
          <w:p w:rsidR="00E92622" w:rsidRDefault="00E92622" w:rsidP="00E92622">
            <w:r>
              <w:t xml:space="preserve">Accounts Payable </w:t>
            </w:r>
          </w:p>
        </w:tc>
        <w:tc>
          <w:tcPr>
            <w:tcW w:w="4675" w:type="dxa"/>
          </w:tcPr>
          <w:p w:rsidR="00E92622" w:rsidRDefault="00E92622" w:rsidP="00E92622"/>
        </w:tc>
      </w:tr>
      <w:tr w:rsidR="00E92622" w:rsidTr="00E92622">
        <w:tc>
          <w:tcPr>
            <w:tcW w:w="4675" w:type="dxa"/>
          </w:tcPr>
          <w:p w:rsidR="00E92622" w:rsidRDefault="00E92622" w:rsidP="00E92622">
            <w:r>
              <w:t>Long-term debts</w:t>
            </w:r>
          </w:p>
        </w:tc>
        <w:tc>
          <w:tcPr>
            <w:tcW w:w="4675" w:type="dxa"/>
          </w:tcPr>
          <w:p w:rsidR="00E92622" w:rsidRDefault="00E92622" w:rsidP="00E92622"/>
        </w:tc>
      </w:tr>
      <w:tr w:rsidR="00E92622" w:rsidTr="00E92622">
        <w:tc>
          <w:tcPr>
            <w:tcW w:w="4675" w:type="dxa"/>
          </w:tcPr>
          <w:p w:rsidR="00E92622" w:rsidRDefault="00E92622" w:rsidP="00E92622">
            <w:r>
              <w:t xml:space="preserve">Other </w:t>
            </w:r>
            <w:r w:rsidR="00F36F31">
              <w:t>Liabilities</w:t>
            </w:r>
            <w:r>
              <w:t xml:space="preserve"> </w:t>
            </w:r>
          </w:p>
        </w:tc>
        <w:tc>
          <w:tcPr>
            <w:tcW w:w="4675" w:type="dxa"/>
          </w:tcPr>
          <w:p w:rsidR="00E92622" w:rsidRDefault="00E92622" w:rsidP="00E92622"/>
        </w:tc>
      </w:tr>
      <w:tr w:rsidR="00E92622" w:rsidTr="00E92622">
        <w:tc>
          <w:tcPr>
            <w:tcW w:w="4675" w:type="dxa"/>
          </w:tcPr>
          <w:p w:rsidR="00E92622" w:rsidRDefault="00E92622" w:rsidP="00E92622"/>
        </w:tc>
        <w:tc>
          <w:tcPr>
            <w:tcW w:w="4675" w:type="dxa"/>
          </w:tcPr>
          <w:p w:rsidR="00E92622" w:rsidRDefault="00E92622" w:rsidP="00E92622"/>
        </w:tc>
      </w:tr>
      <w:tr w:rsidR="00E92622" w:rsidTr="00E92622">
        <w:tc>
          <w:tcPr>
            <w:tcW w:w="4675" w:type="dxa"/>
          </w:tcPr>
          <w:p w:rsidR="00E92622" w:rsidRPr="00F36F31" w:rsidRDefault="00E92622" w:rsidP="00E92622">
            <w:pPr>
              <w:rPr>
                <w:b/>
              </w:rPr>
            </w:pPr>
            <w:r w:rsidRPr="00F36F31">
              <w:rPr>
                <w:b/>
              </w:rPr>
              <w:t xml:space="preserve">TOTAL LIABILITIES </w:t>
            </w:r>
          </w:p>
        </w:tc>
        <w:tc>
          <w:tcPr>
            <w:tcW w:w="4675" w:type="dxa"/>
          </w:tcPr>
          <w:p w:rsidR="00E92622" w:rsidRPr="00F36F31" w:rsidRDefault="00E92622" w:rsidP="00E92622">
            <w:pPr>
              <w:rPr>
                <w:b/>
              </w:rPr>
            </w:pPr>
            <w:r w:rsidRPr="00F36F31">
              <w:rPr>
                <w:b/>
              </w:rPr>
              <w:t>US$</w:t>
            </w:r>
          </w:p>
          <w:p w:rsidR="00E92622" w:rsidRPr="00F36F31" w:rsidRDefault="00E92622" w:rsidP="00E92622">
            <w:pPr>
              <w:rPr>
                <w:b/>
              </w:rPr>
            </w:pPr>
          </w:p>
          <w:p w:rsidR="00E92622" w:rsidRPr="00F36F31" w:rsidRDefault="00E92622" w:rsidP="00E92622">
            <w:pPr>
              <w:rPr>
                <w:b/>
              </w:rPr>
            </w:pPr>
            <w:bookmarkStart w:id="0" w:name="_GoBack"/>
            <w:bookmarkEnd w:id="0"/>
          </w:p>
        </w:tc>
      </w:tr>
      <w:tr w:rsidR="00E92622" w:rsidTr="00E92622">
        <w:tc>
          <w:tcPr>
            <w:tcW w:w="4675" w:type="dxa"/>
          </w:tcPr>
          <w:p w:rsidR="00E92622" w:rsidRDefault="00E92622" w:rsidP="00E92622"/>
        </w:tc>
        <w:tc>
          <w:tcPr>
            <w:tcW w:w="4675" w:type="dxa"/>
          </w:tcPr>
          <w:p w:rsidR="00E92622" w:rsidRDefault="00E92622" w:rsidP="00E92622"/>
        </w:tc>
      </w:tr>
      <w:tr w:rsidR="00E92622" w:rsidTr="00E92622">
        <w:tc>
          <w:tcPr>
            <w:tcW w:w="4675" w:type="dxa"/>
          </w:tcPr>
          <w:p w:rsidR="00E92622" w:rsidRPr="00F36F31" w:rsidRDefault="00E92622" w:rsidP="00E92622">
            <w:pPr>
              <w:rPr>
                <w:b/>
              </w:rPr>
            </w:pPr>
            <w:r w:rsidRPr="00F36F31">
              <w:rPr>
                <w:b/>
              </w:rPr>
              <w:t>SHAREHOLDERS’ EQUITY</w:t>
            </w:r>
          </w:p>
        </w:tc>
        <w:tc>
          <w:tcPr>
            <w:tcW w:w="4675" w:type="dxa"/>
          </w:tcPr>
          <w:p w:rsidR="00E92622" w:rsidRDefault="00E92622" w:rsidP="00E92622">
            <w:pPr>
              <w:rPr>
                <w:b/>
              </w:rPr>
            </w:pPr>
            <w:r w:rsidRPr="00F36F31">
              <w:rPr>
                <w:b/>
              </w:rPr>
              <w:t>US$</w:t>
            </w:r>
          </w:p>
          <w:p w:rsidR="00F36F31" w:rsidRDefault="00F36F31" w:rsidP="00E92622">
            <w:pPr>
              <w:rPr>
                <w:b/>
              </w:rPr>
            </w:pPr>
          </w:p>
          <w:p w:rsidR="00F36F31" w:rsidRPr="00F36F31" w:rsidRDefault="00F36F31" w:rsidP="00E92622">
            <w:pPr>
              <w:rPr>
                <w:b/>
              </w:rPr>
            </w:pPr>
          </w:p>
        </w:tc>
      </w:tr>
      <w:tr w:rsidR="00E92622" w:rsidTr="00E92622">
        <w:tc>
          <w:tcPr>
            <w:tcW w:w="4675" w:type="dxa"/>
          </w:tcPr>
          <w:p w:rsidR="00E92622" w:rsidRDefault="00E92622" w:rsidP="00E92622"/>
        </w:tc>
        <w:tc>
          <w:tcPr>
            <w:tcW w:w="4675" w:type="dxa"/>
          </w:tcPr>
          <w:p w:rsidR="00E92622" w:rsidRDefault="00E92622" w:rsidP="00E92622"/>
        </w:tc>
      </w:tr>
    </w:tbl>
    <w:p w:rsidR="00F36F31" w:rsidRDefault="00F36F31">
      <w:r>
        <w:br w:type="page"/>
      </w:r>
    </w:p>
    <w:tbl>
      <w:tblPr>
        <w:tblStyle w:val="TableGrid"/>
        <w:tblW w:w="0" w:type="auto"/>
        <w:tblLook w:val="04A0" w:firstRow="1" w:lastRow="0" w:firstColumn="1" w:lastColumn="0" w:noHBand="0" w:noVBand="1"/>
      </w:tblPr>
      <w:tblGrid>
        <w:gridCol w:w="4675"/>
        <w:gridCol w:w="4675"/>
      </w:tblGrid>
      <w:tr w:rsidR="00E92622" w:rsidTr="00E92622">
        <w:tc>
          <w:tcPr>
            <w:tcW w:w="4675" w:type="dxa"/>
          </w:tcPr>
          <w:p w:rsidR="00E92622" w:rsidRPr="00F36F31" w:rsidRDefault="00E92622" w:rsidP="00E92622">
            <w:pPr>
              <w:rPr>
                <w:b/>
                <w:sz w:val="28"/>
                <w:szCs w:val="28"/>
              </w:rPr>
            </w:pPr>
            <w:r w:rsidRPr="00F36F31">
              <w:rPr>
                <w:b/>
                <w:sz w:val="28"/>
                <w:szCs w:val="28"/>
              </w:rPr>
              <w:lastRenderedPageBreak/>
              <w:t>INCOME STATEMENT</w:t>
            </w:r>
          </w:p>
        </w:tc>
        <w:tc>
          <w:tcPr>
            <w:tcW w:w="4675" w:type="dxa"/>
          </w:tcPr>
          <w:p w:rsidR="00E92622" w:rsidRDefault="00E92622" w:rsidP="00E92622"/>
        </w:tc>
      </w:tr>
      <w:tr w:rsidR="00E92622" w:rsidTr="00E92622">
        <w:tc>
          <w:tcPr>
            <w:tcW w:w="4675" w:type="dxa"/>
          </w:tcPr>
          <w:p w:rsidR="00E92622" w:rsidRDefault="00E92622" w:rsidP="00E92622"/>
        </w:tc>
        <w:tc>
          <w:tcPr>
            <w:tcW w:w="4675" w:type="dxa"/>
          </w:tcPr>
          <w:p w:rsidR="00E92622" w:rsidRDefault="00E92622" w:rsidP="00E92622"/>
        </w:tc>
      </w:tr>
      <w:tr w:rsidR="00E92622" w:rsidTr="00E92622">
        <w:tc>
          <w:tcPr>
            <w:tcW w:w="4675" w:type="dxa"/>
          </w:tcPr>
          <w:p w:rsidR="00E92622" w:rsidRDefault="00E92622" w:rsidP="00E92622">
            <w:r>
              <w:t>REVENUE</w:t>
            </w:r>
          </w:p>
        </w:tc>
        <w:tc>
          <w:tcPr>
            <w:tcW w:w="4675" w:type="dxa"/>
          </w:tcPr>
          <w:p w:rsidR="00E92622" w:rsidRDefault="00E92622" w:rsidP="00E92622"/>
        </w:tc>
      </w:tr>
      <w:tr w:rsidR="00E92622" w:rsidTr="00E92622">
        <w:tc>
          <w:tcPr>
            <w:tcW w:w="4675" w:type="dxa"/>
          </w:tcPr>
          <w:p w:rsidR="00E92622" w:rsidRDefault="00E92622" w:rsidP="00E92622"/>
        </w:tc>
        <w:tc>
          <w:tcPr>
            <w:tcW w:w="4675" w:type="dxa"/>
          </w:tcPr>
          <w:p w:rsidR="00E92622" w:rsidRDefault="00E92622" w:rsidP="00E92622"/>
        </w:tc>
      </w:tr>
      <w:tr w:rsidR="00E92622" w:rsidTr="00E92622">
        <w:tc>
          <w:tcPr>
            <w:tcW w:w="4675" w:type="dxa"/>
          </w:tcPr>
          <w:p w:rsidR="00E92622" w:rsidRDefault="00E92622" w:rsidP="00E92622">
            <w:r>
              <w:t>COST OF SALES</w:t>
            </w:r>
          </w:p>
        </w:tc>
        <w:tc>
          <w:tcPr>
            <w:tcW w:w="4675" w:type="dxa"/>
          </w:tcPr>
          <w:p w:rsidR="00E92622" w:rsidRDefault="00E92622" w:rsidP="00E92622"/>
        </w:tc>
      </w:tr>
      <w:tr w:rsidR="00E92622" w:rsidTr="00E92622">
        <w:tc>
          <w:tcPr>
            <w:tcW w:w="4675" w:type="dxa"/>
          </w:tcPr>
          <w:p w:rsidR="00E92622" w:rsidRDefault="00E92622" w:rsidP="00E92622"/>
        </w:tc>
        <w:tc>
          <w:tcPr>
            <w:tcW w:w="4675" w:type="dxa"/>
          </w:tcPr>
          <w:p w:rsidR="00E92622" w:rsidRDefault="00E92622" w:rsidP="00E92622"/>
        </w:tc>
      </w:tr>
      <w:tr w:rsidR="00E92622" w:rsidTr="00E92622">
        <w:tc>
          <w:tcPr>
            <w:tcW w:w="4675" w:type="dxa"/>
          </w:tcPr>
          <w:p w:rsidR="00E92622" w:rsidRPr="00F36F31" w:rsidRDefault="00E92622" w:rsidP="00E92622">
            <w:pPr>
              <w:rPr>
                <w:b/>
              </w:rPr>
            </w:pPr>
            <w:r w:rsidRPr="00F36F31">
              <w:rPr>
                <w:b/>
              </w:rPr>
              <w:t>GROSS PROFIT</w:t>
            </w:r>
          </w:p>
        </w:tc>
        <w:tc>
          <w:tcPr>
            <w:tcW w:w="4675" w:type="dxa"/>
          </w:tcPr>
          <w:p w:rsidR="00E92622" w:rsidRDefault="00E92622" w:rsidP="00E92622">
            <w:pPr>
              <w:rPr>
                <w:b/>
              </w:rPr>
            </w:pPr>
            <w:r w:rsidRPr="00F36F31">
              <w:rPr>
                <w:b/>
              </w:rPr>
              <w:t>US$</w:t>
            </w:r>
          </w:p>
          <w:p w:rsidR="00F36F31" w:rsidRDefault="00F36F31" w:rsidP="00E92622">
            <w:pPr>
              <w:rPr>
                <w:b/>
              </w:rPr>
            </w:pPr>
          </w:p>
          <w:p w:rsidR="00F36F31" w:rsidRPr="00F36F31" w:rsidRDefault="00F36F31" w:rsidP="00E92622">
            <w:pPr>
              <w:rPr>
                <w:b/>
              </w:rPr>
            </w:pPr>
          </w:p>
        </w:tc>
      </w:tr>
      <w:tr w:rsidR="00E92622" w:rsidTr="00E92622">
        <w:tc>
          <w:tcPr>
            <w:tcW w:w="4675" w:type="dxa"/>
          </w:tcPr>
          <w:p w:rsidR="00E92622" w:rsidRDefault="00E92622" w:rsidP="00E92622"/>
        </w:tc>
        <w:tc>
          <w:tcPr>
            <w:tcW w:w="4675" w:type="dxa"/>
          </w:tcPr>
          <w:p w:rsidR="00E92622" w:rsidRDefault="00E92622" w:rsidP="00E92622"/>
        </w:tc>
      </w:tr>
      <w:tr w:rsidR="00E92622" w:rsidTr="00E92622">
        <w:tc>
          <w:tcPr>
            <w:tcW w:w="4675" w:type="dxa"/>
          </w:tcPr>
          <w:p w:rsidR="00E92622" w:rsidRPr="00E92622" w:rsidRDefault="00E92622" w:rsidP="00E92622">
            <w:r>
              <w:t>EXPENSES</w:t>
            </w:r>
          </w:p>
        </w:tc>
        <w:tc>
          <w:tcPr>
            <w:tcW w:w="4675" w:type="dxa"/>
          </w:tcPr>
          <w:p w:rsidR="00E92622" w:rsidRDefault="00E92622" w:rsidP="00E92622"/>
        </w:tc>
      </w:tr>
      <w:tr w:rsidR="00E92622" w:rsidTr="00E92622">
        <w:tc>
          <w:tcPr>
            <w:tcW w:w="4675" w:type="dxa"/>
          </w:tcPr>
          <w:p w:rsidR="00E92622" w:rsidRDefault="00E92622" w:rsidP="00E92622">
            <w:r>
              <w:t>Operating expenses</w:t>
            </w:r>
          </w:p>
        </w:tc>
        <w:tc>
          <w:tcPr>
            <w:tcW w:w="4675" w:type="dxa"/>
          </w:tcPr>
          <w:p w:rsidR="00E92622" w:rsidRDefault="00E92622" w:rsidP="00E92622"/>
        </w:tc>
      </w:tr>
      <w:tr w:rsidR="00E92622" w:rsidTr="00E92622">
        <w:tc>
          <w:tcPr>
            <w:tcW w:w="4675" w:type="dxa"/>
          </w:tcPr>
          <w:p w:rsidR="00E92622" w:rsidRDefault="00E92622" w:rsidP="00E92622">
            <w:r>
              <w:t>Other expenses</w:t>
            </w:r>
          </w:p>
        </w:tc>
        <w:tc>
          <w:tcPr>
            <w:tcW w:w="4675" w:type="dxa"/>
          </w:tcPr>
          <w:p w:rsidR="00E92622" w:rsidRDefault="00E92622" w:rsidP="00E92622"/>
        </w:tc>
      </w:tr>
      <w:tr w:rsidR="00E92622" w:rsidTr="00E92622">
        <w:tc>
          <w:tcPr>
            <w:tcW w:w="4675" w:type="dxa"/>
          </w:tcPr>
          <w:p w:rsidR="00E92622" w:rsidRDefault="00E92622" w:rsidP="00E92622">
            <w:r>
              <w:t>Income tax expenses</w:t>
            </w:r>
          </w:p>
        </w:tc>
        <w:tc>
          <w:tcPr>
            <w:tcW w:w="4675" w:type="dxa"/>
          </w:tcPr>
          <w:p w:rsidR="00E92622" w:rsidRDefault="00E92622" w:rsidP="00E92622"/>
        </w:tc>
      </w:tr>
      <w:tr w:rsidR="00E92622" w:rsidTr="00E92622">
        <w:tc>
          <w:tcPr>
            <w:tcW w:w="4675" w:type="dxa"/>
          </w:tcPr>
          <w:p w:rsidR="00E92622" w:rsidRDefault="00E92622" w:rsidP="00E92622"/>
        </w:tc>
        <w:tc>
          <w:tcPr>
            <w:tcW w:w="4675" w:type="dxa"/>
          </w:tcPr>
          <w:p w:rsidR="00E92622" w:rsidRDefault="00E92622" w:rsidP="00E92622"/>
        </w:tc>
      </w:tr>
      <w:tr w:rsidR="00E92622" w:rsidTr="00E92622">
        <w:tc>
          <w:tcPr>
            <w:tcW w:w="4675" w:type="dxa"/>
          </w:tcPr>
          <w:p w:rsidR="00E92622" w:rsidRDefault="00E92622" w:rsidP="00F36F31">
            <w:r>
              <w:t>TOTAL EXPENSES</w:t>
            </w:r>
          </w:p>
        </w:tc>
        <w:tc>
          <w:tcPr>
            <w:tcW w:w="4675" w:type="dxa"/>
          </w:tcPr>
          <w:p w:rsidR="00E92622" w:rsidRDefault="00E92622" w:rsidP="00E92622">
            <w:r>
              <w:t>US$</w:t>
            </w:r>
          </w:p>
        </w:tc>
      </w:tr>
      <w:tr w:rsidR="00E92622" w:rsidTr="00E92622">
        <w:tc>
          <w:tcPr>
            <w:tcW w:w="4675" w:type="dxa"/>
          </w:tcPr>
          <w:p w:rsidR="00E92622" w:rsidRDefault="00E92622" w:rsidP="00E92622"/>
        </w:tc>
        <w:tc>
          <w:tcPr>
            <w:tcW w:w="4675" w:type="dxa"/>
          </w:tcPr>
          <w:p w:rsidR="00E92622" w:rsidRDefault="00E92622" w:rsidP="00E92622"/>
        </w:tc>
      </w:tr>
      <w:tr w:rsidR="00E92622" w:rsidTr="00E92622">
        <w:tc>
          <w:tcPr>
            <w:tcW w:w="4675" w:type="dxa"/>
          </w:tcPr>
          <w:p w:rsidR="00E92622" w:rsidRPr="00F36F31" w:rsidRDefault="00E92622" w:rsidP="00E92622">
            <w:pPr>
              <w:rPr>
                <w:b/>
              </w:rPr>
            </w:pPr>
            <w:r w:rsidRPr="00F36F31">
              <w:rPr>
                <w:b/>
              </w:rPr>
              <w:t>NET INCOME</w:t>
            </w:r>
          </w:p>
        </w:tc>
        <w:tc>
          <w:tcPr>
            <w:tcW w:w="4675" w:type="dxa"/>
          </w:tcPr>
          <w:p w:rsidR="00E92622" w:rsidRPr="00F36F31" w:rsidRDefault="00E92622" w:rsidP="00E92622">
            <w:pPr>
              <w:rPr>
                <w:b/>
              </w:rPr>
            </w:pPr>
            <w:r w:rsidRPr="00F36F31">
              <w:rPr>
                <w:b/>
              </w:rPr>
              <w:t>US$</w:t>
            </w:r>
          </w:p>
        </w:tc>
      </w:tr>
    </w:tbl>
    <w:p w:rsidR="00F36F31" w:rsidRDefault="00F36F31" w:rsidP="00E92622"/>
    <w:p w:rsidR="00F36F31" w:rsidRDefault="00F36F31">
      <w:r>
        <w:br w:type="page"/>
      </w:r>
    </w:p>
    <w:p w:rsidR="00E92622" w:rsidRDefault="00F36F31" w:rsidP="00E92622">
      <w:r>
        <w:lastRenderedPageBreak/>
        <w:t>NOTES:</w:t>
      </w:r>
    </w:p>
    <w:p w:rsidR="00F36F31" w:rsidRPr="00196E7B" w:rsidRDefault="00F36F31" w:rsidP="00196E7B">
      <w:pPr>
        <w:spacing w:line="240" w:lineRule="auto"/>
      </w:pPr>
      <w:r w:rsidRPr="00196E7B">
        <w:t>The reference in the Schedule to the denomination “US$” may be substituted by any other currency in which a company pr</w:t>
      </w:r>
      <w:r w:rsidR="00196E7B" w:rsidRPr="00196E7B">
        <w:t>epares its financial statements.</w:t>
      </w:r>
    </w:p>
    <w:p w:rsidR="00F36F31" w:rsidRPr="00196E7B" w:rsidRDefault="00F36F31" w:rsidP="00196E7B">
      <w:pPr>
        <w:spacing w:line="240" w:lineRule="auto"/>
        <w:jc w:val="both"/>
        <w:rPr>
          <w:rStyle w:val="fontstyle01"/>
          <w:rFonts w:asciiTheme="minorHAnsi" w:hAnsiTheme="minorHAnsi"/>
          <w:sz w:val="22"/>
          <w:szCs w:val="22"/>
        </w:rPr>
      </w:pPr>
      <w:r w:rsidRPr="00196E7B">
        <w:rPr>
          <w:rStyle w:val="fontstyle01"/>
          <w:rFonts w:asciiTheme="minorHAnsi" w:hAnsiTheme="minorHAnsi"/>
          <w:sz w:val="22"/>
          <w:szCs w:val="22"/>
        </w:rPr>
        <w:t xml:space="preserve">The earliest date an annual return becomes </w:t>
      </w:r>
      <w:r w:rsidRPr="00196E7B">
        <w:rPr>
          <w:rStyle w:val="fontstyle21"/>
          <w:rFonts w:asciiTheme="minorHAnsi" w:hAnsiTheme="minorHAnsi"/>
          <w:sz w:val="22"/>
          <w:szCs w:val="22"/>
        </w:rPr>
        <w:t xml:space="preserve">due </w:t>
      </w:r>
      <w:r w:rsidRPr="00196E7B">
        <w:rPr>
          <w:rStyle w:val="fontstyle01"/>
          <w:rFonts w:asciiTheme="minorHAnsi" w:hAnsiTheme="minorHAnsi"/>
          <w:sz w:val="22"/>
          <w:szCs w:val="22"/>
        </w:rPr>
        <w:t xml:space="preserve">(as opposed to when it must be filed) from a company is 1 January, 2024, considering that section 98A of the Act and [this Order] came into effect on 1 January, 2023. This will relate to a company that has a calendar year as its financial year. The company has until 30 September, 2024 to </w:t>
      </w:r>
      <w:r w:rsidRPr="00196E7B">
        <w:rPr>
          <w:rStyle w:val="fontstyle21"/>
          <w:rFonts w:asciiTheme="minorHAnsi" w:hAnsiTheme="minorHAnsi"/>
          <w:sz w:val="22"/>
          <w:szCs w:val="22"/>
        </w:rPr>
        <w:t xml:space="preserve">file </w:t>
      </w:r>
      <w:r w:rsidRPr="00196E7B">
        <w:rPr>
          <w:rStyle w:val="fontstyle01"/>
          <w:rFonts w:asciiTheme="minorHAnsi" w:hAnsiTheme="minorHAnsi"/>
          <w:sz w:val="22"/>
          <w:szCs w:val="22"/>
        </w:rPr>
        <w:t>its annual return that became due on 1 January, 2024.</w:t>
      </w:r>
    </w:p>
    <w:p w:rsidR="00F36F31" w:rsidRPr="00196E7B" w:rsidRDefault="00F36F31" w:rsidP="00196E7B">
      <w:pPr>
        <w:spacing w:line="240" w:lineRule="auto"/>
        <w:jc w:val="both"/>
        <w:rPr>
          <w:rStyle w:val="fontstyle01"/>
          <w:rFonts w:asciiTheme="minorHAnsi" w:hAnsiTheme="minorHAnsi"/>
          <w:sz w:val="22"/>
          <w:szCs w:val="22"/>
        </w:rPr>
      </w:pPr>
      <w:r w:rsidRPr="00196E7B">
        <w:rPr>
          <w:rStyle w:val="fontstyle01"/>
          <w:rFonts w:asciiTheme="minorHAnsi" w:hAnsiTheme="minorHAnsi"/>
          <w:sz w:val="22"/>
          <w:szCs w:val="22"/>
        </w:rPr>
        <w:t xml:space="preserve">If a company has a fiscal or financial year that does not correspond to a calendar year, its annual return becomes </w:t>
      </w:r>
      <w:r w:rsidRPr="00196E7B">
        <w:rPr>
          <w:rStyle w:val="fontstyle21"/>
          <w:rFonts w:asciiTheme="minorHAnsi" w:hAnsiTheme="minorHAnsi"/>
          <w:sz w:val="22"/>
          <w:szCs w:val="22"/>
        </w:rPr>
        <w:t xml:space="preserve">due </w:t>
      </w:r>
      <w:r w:rsidRPr="00196E7B">
        <w:rPr>
          <w:rStyle w:val="fontstyle01"/>
          <w:rFonts w:asciiTheme="minorHAnsi" w:hAnsiTheme="minorHAnsi"/>
          <w:sz w:val="22"/>
          <w:szCs w:val="22"/>
        </w:rPr>
        <w:t xml:space="preserve">in 2024, depending on the month in which the commencement of its financial year falls. However, it may have until any period in 2025 to file its first annual return. </w:t>
      </w:r>
    </w:p>
    <w:p w:rsidR="00F36F31" w:rsidRPr="00196E7B" w:rsidRDefault="00F36F31" w:rsidP="00196E7B">
      <w:pPr>
        <w:spacing w:line="240" w:lineRule="auto"/>
        <w:jc w:val="both"/>
        <w:rPr>
          <w:rStyle w:val="fontstyle01"/>
          <w:rFonts w:asciiTheme="minorHAnsi" w:hAnsiTheme="minorHAnsi"/>
          <w:sz w:val="22"/>
          <w:szCs w:val="22"/>
        </w:rPr>
      </w:pPr>
      <w:r w:rsidRPr="00196E7B">
        <w:rPr>
          <w:rStyle w:val="fontstyle01"/>
          <w:rFonts w:asciiTheme="minorHAnsi" w:hAnsiTheme="minorHAnsi"/>
          <w:sz w:val="22"/>
          <w:szCs w:val="22"/>
        </w:rPr>
        <w:t xml:space="preserve">For example, </w:t>
      </w:r>
      <w:r w:rsidRPr="00196E7B">
        <w:rPr>
          <w:rStyle w:val="fontstyle21"/>
          <w:rFonts w:asciiTheme="minorHAnsi" w:hAnsiTheme="minorHAnsi"/>
          <w:sz w:val="22"/>
          <w:szCs w:val="22"/>
        </w:rPr>
        <w:t xml:space="preserve">Company A’s </w:t>
      </w:r>
      <w:r w:rsidRPr="00196E7B">
        <w:rPr>
          <w:rStyle w:val="fontstyle01"/>
          <w:rFonts w:asciiTheme="minorHAnsi" w:hAnsiTheme="minorHAnsi"/>
          <w:sz w:val="22"/>
          <w:szCs w:val="22"/>
        </w:rPr>
        <w:t xml:space="preserve">fiscal or financial year is from March to February. For the purposes of complying with its annual return filing under the Act, </w:t>
      </w:r>
      <w:r w:rsidRPr="00196E7B">
        <w:rPr>
          <w:rStyle w:val="fontstyle21"/>
          <w:rFonts w:asciiTheme="minorHAnsi" w:hAnsiTheme="minorHAnsi"/>
          <w:sz w:val="22"/>
          <w:szCs w:val="22"/>
        </w:rPr>
        <w:t xml:space="preserve">Company A’s </w:t>
      </w:r>
      <w:r w:rsidRPr="00196E7B">
        <w:rPr>
          <w:rStyle w:val="fontstyle01"/>
          <w:rFonts w:asciiTheme="minorHAnsi" w:hAnsiTheme="minorHAnsi"/>
          <w:sz w:val="22"/>
          <w:szCs w:val="22"/>
        </w:rPr>
        <w:t xml:space="preserve">first annual return becomes </w:t>
      </w:r>
      <w:r w:rsidRPr="00196E7B">
        <w:rPr>
          <w:rStyle w:val="fontstyle21"/>
          <w:rFonts w:asciiTheme="minorHAnsi" w:hAnsiTheme="minorHAnsi"/>
          <w:sz w:val="22"/>
          <w:szCs w:val="22"/>
        </w:rPr>
        <w:t xml:space="preserve">due </w:t>
      </w:r>
      <w:r w:rsidRPr="00196E7B">
        <w:rPr>
          <w:rStyle w:val="fontstyle01"/>
          <w:rFonts w:asciiTheme="minorHAnsi" w:hAnsiTheme="minorHAnsi"/>
          <w:sz w:val="22"/>
          <w:szCs w:val="22"/>
        </w:rPr>
        <w:t xml:space="preserve">on 1 March, 2024, but it has until 30 November, 2024 to </w:t>
      </w:r>
      <w:r w:rsidRPr="00196E7B">
        <w:rPr>
          <w:rStyle w:val="fontstyle21"/>
          <w:rFonts w:asciiTheme="minorHAnsi" w:hAnsiTheme="minorHAnsi"/>
          <w:sz w:val="22"/>
          <w:szCs w:val="22"/>
        </w:rPr>
        <w:t xml:space="preserve">file </w:t>
      </w:r>
      <w:r w:rsidRPr="00196E7B">
        <w:rPr>
          <w:rStyle w:val="fontstyle01"/>
          <w:rFonts w:asciiTheme="minorHAnsi" w:hAnsiTheme="minorHAnsi"/>
          <w:sz w:val="22"/>
          <w:szCs w:val="22"/>
        </w:rPr>
        <w:t>the annual return.</w:t>
      </w:r>
    </w:p>
    <w:p w:rsidR="00F36F31" w:rsidRPr="00196E7B" w:rsidRDefault="00F36F31" w:rsidP="00196E7B">
      <w:pPr>
        <w:spacing w:line="240" w:lineRule="auto"/>
        <w:jc w:val="both"/>
        <w:rPr>
          <w:rStyle w:val="fontstyle01"/>
          <w:rFonts w:asciiTheme="minorHAnsi" w:hAnsiTheme="minorHAnsi"/>
          <w:sz w:val="22"/>
          <w:szCs w:val="22"/>
        </w:rPr>
      </w:pPr>
      <w:r w:rsidRPr="00196E7B">
        <w:rPr>
          <w:rStyle w:val="fontstyle01"/>
          <w:rFonts w:asciiTheme="minorHAnsi" w:hAnsiTheme="minorHAnsi"/>
          <w:sz w:val="22"/>
          <w:szCs w:val="22"/>
        </w:rPr>
        <w:t xml:space="preserve">If, on the other hand, </w:t>
      </w:r>
      <w:r w:rsidRPr="00196E7B">
        <w:rPr>
          <w:rStyle w:val="fontstyle21"/>
          <w:rFonts w:asciiTheme="minorHAnsi" w:hAnsiTheme="minorHAnsi"/>
          <w:sz w:val="22"/>
          <w:szCs w:val="22"/>
        </w:rPr>
        <w:t xml:space="preserve">Company A’s </w:t>
      </w:r>
      <w:r w:rsidRPr="00196E7B">
        <w:rPr>
          <w:rStyle w:val="fontstyle01"/>
          <w:rFonts w:asciiTheme="minorHAnsi" w:hAnsiTheme="minorHAnsi"/>
          <w:sz w:val="22"/>
          <w:szCs w:val="22"/>
        </w:rPr>
        <w:t>fiscal or financial year is from May to April, its first annual return b</w:t>
      </w:r>
      <w:r w:rsidR="00196E7B">
        <w:rPr>
          <w:rStyle w:val="fontstyle01"/>
          <w:rFonts w:asciiTheme="minorHAnsi" w:hAnsiTheme="minorHAnsi"/>
          <w:sz w:val="22"/>
          <w:szCs w:val="22"/>
        </w:rPr>
        <w:t>e</w:t>
      </w:r>
      <w:r w:rsidRPr="00196E7B">
        <w:rPr>
          <w:rStyle w:val="fontstyle01"/>
          <w:rFonts w:asciiTheme="minorHAnsi" w:hAnsiTheme="minorHAnsi"/>
          <w:sz w:val="22"/>
          <w:szCs w:val="22"/>
        </w:rPr>
        <w:t xml:space="preserve">comes </w:t>
      </w:r>
      <w:r w:rsidRPr="00196E7B">
        <w:rPr>
          <w:rStyle w:val="fontstyle21"/>
          <w:rFonts w:asciiTheme="minorHAnsi" w:hAnsiTheme="minorHAnsi"/>
          <w:sz w:val="22"/>
          <w:szCs w:val="22"/>
        </w:rPr>
        <w:t xml:space="preserve">due </w:t>
      </w:r>
      <w:r w:rsidRPr="00196E7B">
        <w:rPr>
          <w:rStyle w:val="fontstyle01"/>
          <w:rFonts w:asciiTheme="minorHAnsi" w:hAnsiTheme="minorHAnsi"/>
          <w:sz w:val="22"/>
          <w:szCs w:val="22"/>
        </w:rPr>
        <w:t>on 1 May, 2024, but the Company has until 31 January, 2025 to file the annual return</w:t>
      </w:r>
    </w:p>
    <w:p w:rsidR="00F36F31" w:rsidRPr="00196E7B" w:rsidRDefault="00F36F31" w:rsidP="00196E7B">
      <w:pPr>
        <w:spacing w:line="240" w:lineRule="auto"/>
        <w:jc w:val="both"/>
        <w:rPr>
          <w:rStyle w:val="fontstyle01"/>
          <w:rFonts w:asciiTheme="minorHAnsi" w:hAnsiTheme="minorHAnsi"/>
          <w:sz w:val="22"/>
          <w:szCs w:val="22"/>
        </w:rPr>
      </w:pPr>
      <w:r w:rsidRPr="00196E7B">
        <w:rPr>
          <w:rStyle w:val="fontstyle01"/>
          <w:rFonts w:asciiTheme="minorHAnsi" w:hAnsiTheme="minorHAnsi"/>
          <w:sz w:val="22"/>
          <w:szCs w:val="22"/>
        </w:rPr>
        <w:t>The companies exempted under section 98</w:t>
      </w:r>
      <w:proofErr w:type="gramStart"/>
      <w:r w:rsidRPr="00196E7B">
        <w:rPr>
          <w:rStyle w:val="fontstyle01"/>
          <w:rFonts w:asciiTheme="minorHAnsi" w:hAnsiTheme="minorHAnsi"/>
          <w:sz w:val="22"/>
          <w:szCs w:val="22"/>
        </w:rPr>
        <w:t>A(</w:t>
      </w:r>
      <w:proofErr w:type="gramEnd"/>
      <w:r w:rsidRPr="00196E7B">
        <w:rPr>
          <w:rStyle w:val="fontstyle01"/>
          <w:rFonts w:asciiTheme="minorHAnsi" w:hAnsiTheme="minorHAnsi"/>
          <w:sz w:val="22"/>
          <w:szCs w:val="22"/>
        </w:rPr>
        <w:t xml:space="preserve">5) of the Act are the following (i.e. companies that are </w:t>
      </w:r>
      <w:r w:rsidRPr="00196E7B">
        <w:rPr>
          <w:rStyle w:val="fontstyle01"/>
          <w:rFonts w:asciiTheme="minorHAnsi" w:hAnsiTheme="minorHAnsi"/>
          <w:sz w:val="22"/>
          <w:szCs w:val="22"/>
          <w:u w:val="single"/>
        </w:rPr>
        <w:t xml:space="preserve">not </w:t>
      </w:r>
      <w:r w:rsidRPr="00196E7B">
        <w:rPr>
          <w:rStyle w:val="fontstyle01"/>
          <w:rFonts w:asciiTheme="minorHAnsi" w:hAnsiTheme="minorHAnsi"/>
          <w:sz w:val="22"/>
          <w:szCs w:val="22"/>
        </w:rPr>
        <w:t>required to complete the annual return):</w:t>
      </w:r>
    </w:p>
    <w:p w:rsidR="00F36F31" w:rsidRPr="00196E7B" w:rsidRDefault="00F36F31" w:rsidP="00196E7B">
      <w:pPr>
        <w:spacing w:line="240" w:lineRule="auto"/>
        <w:jc w:val="both"/>
        <w:rPr>
          <w:rStyle w:val="fontstyle01"/>
          <w:rFonts w:asciiTheme="minorHAnsi" w:hAnsiTheme="minorHAnsi"/>
          <w:sz w:val="22"/>
          <w:szCs w:val="22"/>
        </w:rPr>
      </w:pPr>
      <w:r w:rsidRPr="00196E7B">
        <w:rPr>
          <w:rStyle w:val="fontstyle01"/>
          <w:rFonts w:asciiTheme="minorHAnsi" w:hAnsiTheme="minorHAnsi"/>
          <w:sz w:val="22"/>
          <w:szCs w:val="22"/>
        </w:rPr>
        <w:t>(a) a listed company, meaning a company that is listed on a stock exchange;</w:t>
      </w:r>
    </w:p>
    <w:p w:rsidR="00F36F31" w:rsidRPr="00196E7B" w:rsidRDefault="00F36F31" w:rsidP="00196E7B">
      <w:pPr>
        <w:spacing w:line="240" w:lineRule="auto"/>
        <w:jc w:val="both"/>
        <w:rPr>
          <w:rStyle w:val="fontstyle01"/>
          <w:rFonts w:asciiTheme="minorHAnsi" w:hAnsiTheme="minorHAnsi"/>
          <w:sz w:val="22"/>
          <w:szCs w:val="22"/>
        </w:rPr>
      </w:pPr>
      <w:r w:rsidRPr="00196E7B">
        <w:rPr>
          <w:rStyle w:val="fontstyle01"/>
          <w:rFonts w:asciiTheme="minorHAnsi" w:hAnsiTheme="minorHAnsi"/>
          <w:sz w:val="22"/>
          <w:szCs w:val="22"/>
        </w:rPr>
        <w:t>(b) a company that is regulated under a financial services legislation and provides financial statements to the Financial Services Commission in accordance with the requirements of that financial services legislation;</w:t>
      </w:r>
    </w:p>
    <w:p w:rsidR="00F36F31" w:rsidRPr="00196E7B" w:rsidRDefault="00F36F31" w:rsidP="00196E7B">
      <w:pPr>
        <w:spacing w:line="240" w:lineRule="auto"/>
        <w:jc w:val="both"/>
        <w:rPr>
          <w:rStyle w:val="fontstyle01"/>
          <w:rFonts w:asciiTheme="minorHAnsi" w:hAnsiTheme="minorHAnsi"/>
          <w:sz w:val="22"/>
          <w:szCs w:val="22"/>
        </w:rPr>
      </w:pPr>
      <w:r w:rsidRPr="00196E7B">
        <w:rPr>
          <w:rStyle w:val="fontstyle01"/>
          <w:rFonts w:asciiTheme="minorHAnsi" w:hAnsiTheme="minorHAnsi"/>
          <w:sz w:val="22"/>
          <w:szCs w:val="22"/>
        </w:rPr>
        <w:t>(c) a company that files its annual tax return to the Inland Revenue Department accompanied by the company’s financial statements; and</w:t>
      </w:r>
    </w:p>
    <w:p w:rsidR="00F36F31" w:rsidRPr="00196E7B" w:rsidRDefault="00F36F31" w:rsidP="00196E7B">
      <w:pPr>
        <w:spacing w:line="240" w:lineRule="auto"/>
        <w:jc w:val="both"/>
        <w:rPr>
          <w:rStyle w:val="fontstyle01"/>
          <w:rFonts w:asciiTheme="minorHAnsi" w:hAnsiTheme="minorHAnsi"/>
          <w:sz w:val="22"/>
          <w:szCs w:val="22"/>
        </w:rPr>
      </w:pPr>
      <w:r w:rsidRPr="00196E7B">
        <w:rPr>
          <w:rStyle w:val="fontstyle01"/>
          <w:rFonts w:asciiTheme="minorHAnsi" w:hAnsiTheme="minorHAnsi"/>
          <w:sz w:val="22"/>
          <w:szCs w:val="22"/>
        </w:rPr>
        <w:t>(d) a company in liquidation, except that this exemption does not apply if the company’s annual return becomes due prior to the commencement of the liquidation.</w:t>
      </w:r>
    </w:p>
    <w:p w:rsidR="00F36F31" w:rsidRPr="00196E7B" w:rsidRDefault="00F36F31" w:rsidP="00196E7B">
      <w:pPr>
        <w:spacing w:line="240" w:lineRule="auto"/>
        <w:jc w:val="both"/>
        <w:rPr>
          <w:rStyle w:val="fontstyle01"/>
          <w:rFonts w:asciiTheme="minorHAnsi" w:hAnsiTheme="minorHAnsi"/>
          <w:sz w:val="22"/>
          <w:szCs w:val="22"/>
        </w:rPr>
      </w:pPr>
      <w:r w:rsidRPr="00196E7B">
        <w:rPr>
          <w:rStyle w:val="fontstyle01"/>
          <w:rFonts w:asciiTheme="minorHAnsi" w:hAnsiTheme="minorHAnsi"/>
          <w:sz w:val="22"/>
          <w:szCs w:val="22"/>
        </w:rPr>
        <w:t xml:space="preserve">(in relation to a company in liquidation): </w:t>
      </w:r>
      <w:r w:rsidRPr="00196E7B">
        <w:rPr>
          <w:rStyle w:val="fontstyle21"/>
          <w:rFonts w:asciiTheme="minorHAnsi" w:hAnsiTheme="minorHAnsi"/>
          <w:sz w:val="22"/>
          <w:szCs w:val="22"/>
        </w:rPr>
        <w:t xml:space="preserve">Company A </w:t>
      </w:r>
      <w:r w:rsidRPr="00196E7B">
        <w:rPr>
          <w:rStyle w:val="fontstyle01"/>
          <w:rFonts w:asciiTheme="minorHAnsi" w:hAnsiTheme="minorHAnsi"/>
          <w:sz w:val="22"/>
          <w:szCs w:val="22"/>
        </w:rPr>
        <w:t>has a calendar year (January– December) as its financial year. Its annual return becomes due from 1 January to 30 September of the ensuing year. In June of that ensuing year, the company decides to go into liquidation before it has filed its annual return. The company is bound to file its annual return because its liquidation commenced after the annual return became due.</w:t>
      </w:r>
    </w:p>
    <w:p w:rsidR="00F36F31" w:rsidRPr="00196E7B" w:rsidRDefault="00F36F31" w:rsidP="00196E7B">
      <w:pPr>
        <w:spacing w:line="240" w:lineRule="auto"/>
        <w:jc w:val="both"/>
        <w:rPr>
          <w:rStyle w:val="fontstyle01"/>
          <w:rFonts w:asciiTheme="minorHAnsi" w:hAnsiTheme="minorHAnsi"/>
          <w:sz w:val="22"/>
          <w:szCs w:val="22"/>
        </w:rPr>
      </w:pPr>
      <w:r w:rsidRPr="00196E7B">
        <w:rPr>
          <w:rStyle w:val="fontstyle01"/>
          <w:rFonts w:asciiTheme="minorHAnsi" w:hAnsiTheme="minorHAnsi"/>
          <w:sz w:val="22"/>
          <w:szCs w:val="22"/>
        </w:rPr>
        <w:t xml:space="preserve">On the other hand, </w:t>
      </w:r>
      <w:r w:rsidRPr="00196E7B">
        <w:rPr>
          <w:rStyle w:val="fontstyle21"/>
          <w:rFonts w:asciiTheme="minorHAnsi" w:hAnsiTheme="minorHAnsi"/>
          <w:sz w:val="22"/>
          <w:szCs w:val="22"/>
        </w:rPr>
        <w:t xml:space="preserve">Company B </w:t>
      </w:r>
      <w:r w:rsidRPr="00196E7B">
        <w:rPr>
          <w:rStyle w:val="fontstyle01"/>
          <w:rFonts w:asciiTheme="minorHAnsi" w:hAnsiTheme="minorHAnsi"/>
          <w:sz w:val="22"/>
          <w:szCs w:val="22"/>
        </w:rPr>
        <w:t>has a calendar year (January – December) as its financial year.</w:t>
      </w:r>
    </w:p>
    <w:p w:rsidR="00F36F31" w:rsidRPr="00196E7B" w:rsidRDefault="00F36F31" w:rsidP="00196E7B">
      <w:pPr>
        <w:spacing w:line="240" w:lineRule="auto"/>
        <w:jc w:val="both"/>
        <w:rPr>
          <w:rStyle w:val="fontstyle01"/>
          <w:rFonts w:asciiTheme="minorHAnsi" w:hAnsiTheme="minorHAnsi"/>
          <w:sz w:val="22"/>
          <w:szCs w:val="22"/>
        </w:rPr>
      </w:pPr>
      <w:r w:rsidRPr="00196E7B">
        <w:rPr>
          <w:rStyle w:val="fontstyle01"/>
          <w:rFonts w:asciiTheme="minorHAnsi" w:hAnsiTheme="minorHAnsi"/>
          <w:sz w:val="22"/>
          <w:szCs w:val="22"/>
        </w:rPr>
        <w:t xml:space="preserve">However, in June of that calendar year </w:t>
      </w:r>
      <w:r w:rsidRPr="00196E7B">
        <w:rPr>
          <w:rStyle w:val="fontstyle21"/>
          <w:rFonts w:asciiTheme="minorHAnsi" w:hAnsiTheme="minorHAnsi"/>
          <w:sz w:val="22"/>
          <w:szCs w:val="22"/>
        </w:rPr>
        <w:t xml:space="preserve">Company B </w:t>
      </w:r>
      <w:r w:rsidRPr="00196E7B">
        <w:rPr>
          <w:rStyle w:val="fontstyle01"/>
          <w:rFonts w:asciiTheme="minorHAnsi" w:hAnsiTheme="minorHAnsi"/>
          <w:sz w:val="22"/>
          <w:szCs w:val="22"/>
        </w:rPr>
        <w:t xml:space="preserve">goes into liquidation before its annual return for that year becomes due. </w:t>
      </w:r>
      <w:r w:rsidRPr="00196E7B">
        <w:rPr>
          <w:rStyle w:val="fontstyle21"/>
          <w:rFonts w:asciiTheme="minorHAnsi" w:hAnsiTheme="minorHAnsi"/>
          <w:sz w:val="22"/>
          <w:szCs w:val="22"/>
        </w:rPr>
        <w:t xml:space="preserve">Company B </w:t>
      </w:r>
      <w:r w:rsidRPr="00196E7B">
        <w:rPr>
          <w:rStyle w:val="fontstyle01"/>
          <w:rFonts w:asciiTheme="minorHAnsi" w:hAnsiTheme="minorHAnsi"/>
          <w:sz w:val="22"/>
          <w:szCs w:val="22"/>
        </w:rPr>
        <w:t>is not required to file an annual return for that calendar year.</w:t>
      </w:r>
    </w:p>
    <w:p w:rsidR="00F36F31" w:rsidRPr="00196E7B" w:rsidRDefault="00F36F31" w:rsidP="00196E7B">
      <w:pPr>
        <w:spacing w:line="240" w:lineRule="auto"/>
        <w:jc w:val="both"/>
        <w:rPr>
          <w:rStyle w:val="fontstyle01"/>
          <w:rFonts w:asciiTheme="minorHAnsi" w:hAnsiTheme="minorHAnsi"/>
          <w:sz w:val="22"/>
          <w:szCs w:val="22"/>
        </w:rPr>
      </w:pPr>
      <w:r w:rsidRPr="00196E7B">
        <w:rPr>
          <w:rStyle w:val="fontstyle01"/>
          <w:rFonts w:asciiTheme="minorHAnsi" w:hAnsiTheme="minorHAnsi"/>
          <w:sz w:val="22"/>
          <w:szCs w:val="22"/>
        </w:rPr>
        <w:t>The same rule applies if a company’s fiscal or financial year is different from a calendar year.</w:t>
      </w:r>
    </w:p>
    <w:p w:rsidR="00F36F31" w:rsidRPr="00196E7B" w:rsidRDefault="00F36F31" w:rsidP="00196E7B">
      <w:pPr>
        <w:spacing w:line="240" w:lineRule="auto"/>
        <w:jc w:val="both"/>
      </w:pPr>
      <w:r w:rsidRPr="00196E7B">
        <w:rPr>
          <w:rStyle w:val="fontstyle01"/>
          <w:rFonts w:asciiTheme="minorHAnsi" w:hAnsiTheme="minorHAnsi"/>
          <w:sz w:val="22"/>
          <w:szCs w:val="22"/>
        </w:rPr>
        <w:t xml:space="preserve">For example, if </w:t>
      </w:r>
      <w:r w:rsidRPr="00196E7B">
        <w:rPr>
          <w:rStyle w:val="fontstyle21"/>
          <w:rFonts w:asciiTheme="minorHAnsi" w:hAnsiTheme="minorHAnsi"/>
          <w:sz w:val="22"/>
          <w:szCs w:val="22"/>
        </w:rPr>
        <w:t xml:space="preserve">Company C’s </w:t>
      </w:r>
      <w:r w:rsidRPr="00196E7B">
        <w:rPr>
          <w:rStyle w:val="fontstyle01"/>
          <w:rFonts w:asciiTheme="minorHAnsi" w:hAnsiTheme="minorHAnsi"/>
          <w:sz w:val="22"/>
          <w:szCs w:val="22"/>
        </w:rPr>
        <w:t xml:space="preserve">fiscal or financial year commences on 1 April in a particular year (“the First Year”) and ends in March of the following year (“the Second Year”), the company’s annual return becomes due on 1 April of the Second Year (even though the company has until 31 December of the Second Year to file its annual return). Consequently, if </w:t>
      </w:r>
      <w:r w:rsidRPr="00196E7B">
        <w:rPr>
          <w:rStyle w:val="fontstyle21"/>
          <w:rFonts w:asciiTheme="minorHAnsi" w:hAnsiTheme="minorHAnsi"/>
          <w:sz w:val="22"/>
          <w:szCs w:val="22"/>
        </w:rPr>
        <w:t xml:space="preserve">Company C </w:t>
      </w:r>
      <w:r w:rsidRPr="00196E7B">
        <w:rPr>
          <w:rStyle w:val="fontstyle01"/>
          <w:rFonts w:asciiTheme="minorHAnsi" w:hAnsiTheme="minorHAnsi"/>
          <w:sz w:val="22"/>
          <w:szCs w:val="22"/>
        </w:rPr>
        <w:t xml:space="preserve">goes into liquidation in May of the Second Year, it is liable to file its annual return as the annual return would have become due on 1 April of the Second </w:t>
      </w:r>
      <w:r w:rsidRPr="00196E7B">
        <w:rPr>
          <w:rStyle w:val="fontstyle01"/>
          <w:rFonts w:asciiTheme="minorHAnsi" w:hAnsiTheme="minorHAnsi"/>
          <w:sz w:val="22"/>
          <w:szCs w:val="22"/>
        </w:rPr>
        <w:lastRenderedPageBreak/>
        <w:t xml:space="preserve">Year. If, on the other hand, </w:t>
      </w:r>
      <w:r w:rsidRPr="00196E7B">
        <w:rPr>
          <w:rStyle w:val="fontstyle21"/>
          <w:rFonts w:asciiTheme="minorHAnsi" w:hAnsiTheme="minorHAnsi"/>
          <w:sz w:val="22"/>
          <w:szCs w:val="22"/>
        </w:rPr>
        <w:t xml:space="preserve">Company C </w:t>
      </w:r>
      <w:r w:rsidRPr="00196E7B">
        <w:rPr>
          <w:rStyle w:val="fontstyle01"/>
          <w:rFonts w:asciiTheme="minorHAnsi" w:hAnsiTheme="minorHAnsi"/>
          <w:sz w:val="22"/>
          <w:szCs w:val="22"/>
        </w:rPr>
        <w:t>goes into liquidation in November of the First Year, it is not liable to</w:t>
      </w:r>
      <w:r w:rsidR="00196E7B">
        <w:rPr>
          <w:rStyle w:val="fontstyle01"/>
          <w:rFonts w:asciiTheme="minorHAnsi" w:hAnsiTheme="minorHAnsi"/>
          <w:sz w:val="22"/>
          <w:szCs w:val="22"/>
        </w:rPr>
        <w:t xml:space="preserve"> </w:t>
      </w:r>
      <w:r w:rsidRPr="00196E7B">
        <w:rPr>
          <w:rStyle w:val="fontstyle01"/>
          <w:rFonts w:asciiTheme="minorHAnsi" w:hAnsiTheme="minorHAnsi"/>
          <w:sz w:val="22"/>
          <w:szCs w:val="22"/>
        </w:rPr>
        <w:t>file an annual return for that Year.</w:t>
      </w:r>
    </w:p>
    <w:p w:rsidR="00F36F31" w:rsidRDefault="00F36F31" w:rsidP="00F36F31">
      <w:pPr>
        <w:pStyle w:val="BodyText"/>
        <w:rPr>
          <w:sz w:val="26"/>
        </w:rPr>
      </w:pPr>
    </w:p>
    <w:p w:rsidR="00F36F31" w:rsidRPr="00E92622" w:rsidRDefault="00F36F31" w:rsidP="00E92622"/>
    <w:sectPr w:rsidR="00F36F31" w:rsidRPr="00E926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B78" w:rsidRDefault="00AA0B78" w:rsidP="00F36F31">
      <w:pPr>
        <w:spacing w:after="0" w:line="240" w:lineRule="auto"/>
      </w:pPr>
      <w:r>
        <w:separator/>
      </w:r>
    </w:p>
  </w:endnote>
  <w:endnote w:type="continuationSeparator" w:id="0">
    <w:p w:rsidR="00AA0B78" w:rsidRDefault="00AA0B78" w:rsidP="00F3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B78" w:rsidRDefault="00AA0B78" w:rsidP="00F36F31">
      <w:pPr>
        <w:spacing w:after="0" w:line="240" w:lineRule="auto"/>
      </w:pPr>
      <w:r>
        <w:separator/>
      </w:r>
    </w:p>
  </w:footnote>
  <w:footnote w:type="continuationSeparator" w:id="0">
    <w:p w:rsidR="00AA0B78" w:rsidRDefault="00AA0B78" w:rsidP="00F36F31">
      <w:pPr>
        <w:spacing w:after="0" w:line="240" w:lineRule="auto"/>
      </w:pPr>
      <w:r>
        <w:continuationSeparator/>
      </w:r>
    </w:p>
  </w:footnote>
  <w:footnote w:id="1">
    <w:p w:rsidR="00F36F31" w:rsidRPr="00196E7B" w:rsidRDefault="00F36F31" w:rsidP="00196E7B">
      <w:pPr>
        <w:pStyle w:val="FootnoteText"/>
        <w:jc w:val="both"/>
      </w:pPr>
      <w:r>
        <w:rPr>
          <w:rStyle w:val="FootnoteReference"/>
        </w:rPr>
        <w:footnoteRef/>
      </w:r>
      <w:r>
        <w:t xml:space="preserve"> </w:t>
      </w:r>
      <w:r w:rsidRPr="00196E7B">
        <w:rPr>
          <w:rStyle w:val="fontstyle01"/>
          <w:rFonts w:asciiTheme="minorHAnsi" w:hAnsiTheme="minorHAnsi"/>
          <w:sz w:val="18"/>
          <w:szCs w:val="18"/>
        </w:rPr>
        <w:t>By virtue of section 98</w:t>
      </w:r>
      <w:proofErr w:type="gramStart"/>
      <w:r w:rsidRPr="00196E7B">
        <w:rPr>
          <w:rStyle w:val="fontstyle01"/>
          <w:rFonts w:asciiTheme="minorHAnsi" w:hAnsiTheme="minorHAnsi"/>
          <w:sz w:val="18"/>
          <w:szCs w:val="18"/>
        </w:rPr>
        <w:t>A(</w:t>
      </w:r>
      <w:proofErr w:type="gramEnd"/>
      <w:r w:rsidRPr="00196E7B">
        <w:rPr>
          <w:rStyle w:val="fontstyle01"/>
          <w:rFonts w:asciiTheme="minorHAnsi" w:hAnsiTheme="minorHAnsi"/>
          <w:sz w:val="18"/>
          <w:szCs w:val="18"/>
        </w:rPr>
        <w:t>7) of the BVI Business Companies Act (as revised) (the “Act”), the reference to “year” relates to a company’s fiscal or financial year which may be a calendar year. If a company’s fiscal or financial year does not correspond to a calendar year, the reference to “year” relates to the company’s stated fiscal or financial year. Thus, the requirement to file an annual return relates to the company’s fiscal or financial year, however that is determined and applied by the company.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22"/>
    <w:rsid w:val="00196E7B"/>
    <w:rsid w:val="002A4732"/>
    <w:rsid w:val="00315E1D"/>
    <w:rsid w:val="005637E9"/>
    <w:rsid w:val="005D0060"/>
    <w:rsid w:val="006149BE"/>
    <w:rsid w:val="007F3B8A"/>
    <w:rsid w:val="00AA0B78"/>
    <w:rsid w:val="00E92622"/>
    <w:rsid w:val="00F3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65E4"/>
  <w15:chartTrackingRefBased/>
  <w15:docId w15:val="{AF48643A-8A99-48E3-BA3F-05C2E121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36F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F31"/>
    <w:rPr>
      <w:sz w:val="20"/>
      <w:szCs w:val="20"/>
    </w:rPr>
  </w:style>
  <w:style w:type="character" w:styleId="FootnoteReference">
    <w:name w:val="footnote reference"/>
    <w:basedOn w:val="DefaultParagraphFont"/>
    <w:uiPriority w:val="99"/>
    <w:semiHidden/>
    <w:unhideWhenUsed/>
    <w:rsid w:val="00F36F31"/>
    <w:rPr>
      <w:vertAlign w:val="superscript"/>
    </w:rPr>
  </w:style>
  <w:style w:type="character" w:customStyle="1" w:styleId="fontstyle01">
    <w:name w:val="fontstyle01"/>
    <w:basedOn w:val="DefaultParagraphFont"/>
    <w:rsid w:val="00F36F31"/>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F36F31"/>
    <w:rPr>
      <w:rFonts w:ascii="Times New Roman" w:hAnsi="Times New Roman" w:cs="Times New Roman" w:hint="default"/>
      <w:b/>
      <w:bCs/>
      <w:i w:val="0"/>
      <w:iCs w:val="0"/>
      <w:color w:val="000000"/>
      <w:sz w:val="20"/>
      <w:szCs w:val="20"/>
    </w:rPr>
  </w:style>
  <w:style w:type="paragraph" w:styleId="BodyText">
    <w:name w:val="Body Text"/>
    <w:basedOn w:val="Normal"/>
    <w:link w:val="BodyTextChar"/>
    <w:uiPriority w:val="1"/>
    <w:qFormat/>
    <w:rsid w:val="00F36F3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F36F3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A4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7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598</Words>
  <Characters>3615</Characters>
  <Application>Microsoft Office Word</Application>
  <DocSecurity>0</DocSecurity>
  <Lines>361</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Fletcher | Campbells</dc:creator>
  <cp:keywords/>
  <dc:description/>
  <cp:lastModifiedBy>Kamesha Chalwell | Campbells</cp:lastModifiedBy>
  <cp:revision>2</cp:revision>
  <cp:lastPrinted>2024-07-24T19:56:00Z</cp:lastPrinted>
  <dcterms:created xsi:type="dcterms:W3CDTF">2024-07-24T20:13:00Z</dcterms:created>
  <dcterms:modified xsi:type="dcterms:W3CDTF">2024-07-24T20:13:00Z</dcterms:modified>
</cp:coreProperties>
</file>